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3AA0" w14:textId="77777777" w:rsidR="00C61063" w:rsidRDefault="00000000">
      <w:pPr>
        <w:spacing w:before="80"/>
        <w:ind w:left="100"/>
        <w:rPr>
          <w:sz w:val="24"/>
        </w:rPr>
      </w:pPr>
      <w:r>
        <w:rPr>
          <w:sz w:val="24"/>
        </w:rPr>
        <w:t>SPECIFICATION</w:t>
      </w:r>
      <w:r>
        <w:rPr>
          <w:spacing w:val="-6"/>
          <w:sz w:val="24"/>
        </w:rPr>
        <w:t xml:space="preserve"> </w:t>
      </w:r>
      <w:r>
        <w:rPr>
          <w:sz w:val="24"/>
        </w:rPr>
        <w:t>SECTION</w:t>
      </w:r>
      <w:r>
        <w:rPr>
          <w:spacing w:val="-4"/>
          <w:sz w:val="24"/>
        </w:rPr>
        <w:t xml:space="preserve"> </w:t>
      </w:r>
      <w:r>
        <w:rPr>
          <w:spacing w:val="-5"/>
          <w:sz w:val="24"/>
        </w:rPr>
        <w:t>XXX</w:t>
      </w:r>
    </w:p>
    <w:p w14:paraId="0EBDD5A2" w14:textId="564C7F23" w:rsidR="00C61063" w:rsidRDefault="00000000">
      <w:pPr>
        <w:spacing w:before="276"/>
        <w:ind w:left="100"/>
        <w:rPr>
          <w:sz w:val="24"/>
        </w:rPr>
      </w:pPr>
      <w:r>
        <w:rPr>
          <w:sz w:val="24"/>
        </w:rPr>
        <w:t>PRODUCT:</w:t>
      </w:r>
      <w:r>
        <w:rPr>
          <w:spacing w:val="-3"/>
          <w:sz w:val="24"/>
        </w:rPr>
        <w:t xml:space="preserve"> </w:t>
      </w:r>
      <w:r w:rsidR="009A36EB">
        <w:rPr>
          <w:sz w:val="24"/>
        </w:rPr>
        <w:t>AQUASOLVE</w:t>
      </w:r>
      <w:r>
        <w:rPr>
          <w:spacing w:val="-2"/>
          <w:sz w:val="24"/>
        </w:rPr>
        <w:t xml:space="preserve"> </w:t>
      </w:r>
      <w:r>
        <w:rPr>
          <w:sz w:val="24"/>
        </w:rPr>
        <w:t>SCALE</w:t>
      </w:r>
      <w:r>
        <w:rPr>
          <w:spacing w:val="-3"/>
          <w:sz w:val="24"/>
        </w:rPr>
        <w:t xml:space="preserve"> </w:t>
      </w:r>
      <w:r>
        <w:rPr>
          <w:sz w:val="24"/>
        </w:rPr>
        <w:t>PREVENTION</w:t>
      </w:r>
      <w:r>
        <w:rPr>
          <w:spacing w:val="-1"/>
          <w:sz w:val="24"/>
        </w:rPr>
        <w:t xml:space="preserve"> </w:t>
      </w:r>
      <w:r>
        <w:rPr>
          <w:spacing w:val="-2"/>
          <w:sz w:val="24"/>
        </w:rPr>
        <w:t>SYSTEM</w:t>
      </w:r>
    </w:p>
    <w:p w14:paraId="23B96299" w14:textId="77777777" w:rsidR="00C61063" w:rsidRDefault="00000000">
      <w:pPr>
        <w:pStyle w:val="ListParagraph"/>
        <w:numPr>
          <w:ilvl w:val="0"/>
          <w:numId w:val="2"/>
        </w:numPr>
        <w:tabs>
          <w:tab w:val="left" w:pos="460"/>
        </w:tabs>
        <w:spacing w:before="248"/>
        <w:rPr>
          <w:sz w:val="24"/>
        </w:rPr>
      </w:pPr>
      <w:r>
        <w:rPr>
          <w:spacing w:val="-2"/>
          <w:sz w:val="24"/>
        </w:rPr>
        <w:t>GENERAL</w:t>
      </w:r>
    </w:p>
    <w:p w14:paraId="1A084AA5" w14:textId="366075FC" w:rsidR="00C61063" w:rsidRDefault="00000000">
      <w:pPr>
        <w:pStyle w:val="BodyText"/>
        <w:spacing w:before="200"/>
        <w:ind w:right="588"/>
      </w:pPr>
      <w:r>
        <w:t>Furnish</w:t>
      </w:r>
      <w:r>
        <w:rPr>
          <w:spacing w:val="-4"/>
        </w:rPr>
        <w:t xml:space="preserve"> </w:t>
      </w:r>
      <w:r>
        <w:t>a</w:t>
      </w:r>
      <w:r>
        <w:rPr>
          <w:spacing w:val="-5"/>
        </w:rPr>
        <w:t xml:space="preserve"> </w:t>
      </w:r>
      <w:r>
        <w:t>commercial</w:t>
      </w:r>
      <w:r>
        <w:rPr>
          <w:spacing w:val="-4"/>
        </w:rPr>
        <w:t xml:space="preserve"> </w:t>
      </w:r>
      <w:r>
        <w:t>scale</w:t>
      </w:r>
      <w:r>
        <w:rPr>
          <w:spacing w:val="-4"/>
        </w:rPr>
        <w:t xml:space="preserve"> </w:t>
      </w:r>
      <w:r>
        <w:t>prevention</w:t>
      </w:r>
      <w:r>
        <w:rPr>
          <w:spacing w:val="-4"/>
        </w:rPr>
        <w:t xml:space="preserve"> </w:t>
      </w:r>
      <w:r>
        <w:t>system</w:t>
      </w:r>
      <w:r>
        <w:rPr>
          <w:spacing w:val="-4"/>
        </w:rPr>
        <w:t xml:space="preserve"> </w:t>
      </w:r>
      <w:r>
        <w:t>as</w:t>
      </w:r>
      <w:r>
        <w:rPr>
          <w:spacing w:val="-2"/>
        </w:rPr>
        <w:t xml:space="preserve"> </w:t>
      </w:r>
      <w:r>
        <w:t>specified</w:t>
      </w:r>
      <w:r>
        <w:rPr>
          <w:spacing w:val="-5"/>
        </w:rPr>
        <w:t xml:space="preserve"> </w:t>
      </w:r>
      <w:r>
        <w:t>here</w:t>
      </w:r>
      <w:r>
        <w:rPr>
          <w:spacing w:val="-6"/>
        </w:rPr>
        <w:t xml:space="preserve"> </w:t>
      </w:r>
      <w:r>
        <w:t>in</w:t>
      </w:r>
      <w:r>
        <w:rPr>
          <w:spacing w:val="-5"/>
        </w:rPr>
        <w:t xml:space="preserve"> </w:t>
      </w:r>
      <w:r>
        <w:t>this</w:t>
      </w:r>
      <w:r>
        <w:rPr>
          <w:spacing w:val="-4"/>
        </w:rPr>
        <w:t xml:space="preserve"> </w:t>
      </w:r>
      <w:r>
        <w:t xml:space="preserve">section and as called for in the equipment schedule for the reduction of water </w:t>
      </w:r>
      <w:r w:rsidR="009A36EB">
        <w:t>hardness-related</w:t>
      </w:r>
      <w:r>
        <w:rPr>
          <w:spacing w:val="-3"/>
        </w:rPr>
        <w:t xml:space="preserve"> </w:t>
      </w:r>
      <w:r>
        <w:t>scale formation. It</w:t>
      </w:r>
      <w:r>
        <w:rPr>
          <w:spacing w:val="-1"/>
        </w:rPr>
        <w:t xml:space="preserve"> </w:t>
      </w:r>
      <w:r>
        <w:t>shall</w:t>
      </w:r>
      <w:r>
        <w:rPr>
          <w:spacing w:val="-1"/>
        </w:rPr>
        <w:t xml:space="preserve"> </w:t>
      </w:r>
      <w:r>
        <w:t>be a</w:t>
      </w:r>
      <w:r>
        <w:rPr>
          <w:spacing w:val="-1"/>
        </w:rPr>
        <w:t xml:space="preserve"> </w:t>
      </w:r>
      <w:r>
        <w:t>zero</w:t>
      </w:r>
      <w:r>
        <w:rPr>
          <w:spacing w:val="-1"/>
        </w:rPr>
        <w:t xml:space="preserve"> </w:t>
      </w:r>
      <w:r>
        <w:t>discharge</w:t>
      </w:r>
      <w:r>
        <w:rPr>
          <w:spacing w:val="-2"/>
        </w:rPr>
        <w:t xml:space="preserve"> </w:t>
      </w:r>
      <w:r>
        <w:t>type</w:t>
      </w:r>
      <w:r>
        <w:rPr>
          <w:spacing w:val="-3"/>
        </w:rPr>
        <w:t xml:space="preserve"> </w:t>
      </w:r>
      <w:r>
        <w:t>system</w:t>
      </w:r>
      <w:r>
        <w:rPr>
          <w:spacing w:val="-2"/>
        </w:rPr>
        <w:t xml:space="preserve"> </w:t>
      </w:r>
      <w:r>
        <w:t xml:space="preserve">with no drain connection and no regeneration requirement. The scale prevention system shall be supplied </w:t>
      </w:r>
      <w:proofErr w:type="gramStart"/>
      <w:r>
        <w:t>complete, and</w:t>
      </w:r>
      <w:proofErr w:type="gramEnd"/>
      <w:r>
        <w:t xml:space="preserve"> assembled entirely by one manufacturer and certified to NSF/ANSI/CAN standard 372 for Lead Free compliance and to NSF/ANSI/CAN standard 61. System to include all components required for proper operation of the system. These components include </w:t>
      </w:r>
      <w:r w:rsidR="009A36EB">
        <w:t xml:space="preserve">a </w:t>
      </w:r>
      <w:r>
        <w:t xml:space="preserve">mineral tank, scale prevention media, </w:t>
      </w:r>
      <w:r w:rsidR="009A36EB">
        <w:t xml:space="preserve">tank head for </w:t>
      </w:r>
      <w:r>
        <w:t>inlet</w:t>
      </w:r>
      <w:r w:rsidR="009A36EB">
        <w:t>,</w:t>
      </w:r>
      <w:r>
        <w:t xml:space="preserve"> and outlet connections/ plumbing manifold, and internal distributor system. The system shall be a </w:t>
      </w:r>
      <w:r w:rsidR="009A36EB">
        <w:t>Lync</w:t>
      </w:r>
      <w:r>
        <w:t xml:space="preserve"> </w:t>
      </w:r>
      <w:r w:rsidR="009A36EB">
        <w:t>AQUASOLVE</w:t>
      </w:r>
      <w:r>
        <w:t xml:space="preserve"> Model #</w:t>
      </w:r>
    </w:p>
    <w:p w14:paraId="4B246539" w14:textId="2EE15EA2" w:rsidR="00C61063" w:rsidRDefault="00000000">
      <w:pPr>
        <w:tabs>
          <w:tab w:val="left" w:pos="2575"/>
        </w:tabs>
        <w:ind w:left="1113"/>
        <w:rPr>
          <w:sz w:val="24"/>
        </w:rPr>
      </w:pPr>
      <w:r>
        <w:rPr>
          <w:sz w:val="24"/>
        </w:rPr>
        <w:tab/>
      </w:r>
    </w:p>
    <w:p w14:paraId="4E4C07E9" w14:textId="77777777" w:rsidR="00C61063" w:rsidRDefault="00000000">
      <w:pPr>
        <w:pStyle w:val="ListParagraph"/>
        <w:numPr>
          <w:ilvl w:val="0"/>
          <w:numId w:val="2"/>
        </w:numPr>
        <w:tabs>
          <w:tab w:val="left" w:pos="460"/>
          <w:tab w:val="left" w:pos="2980"/>
        </w:tabs>
        <w:spacing w:before="192"/>
        <w:rPr>
          <w:sz w:val="24"/>
        </w:rPr>
      </w:pPr>
      <w:r>
        <w:rPr>
          <w:sz w:val="24"/>
        </w:rPr>
        <w:t>RELATED</w:t>
      </w:r>
      <w:r>
        <w:rPr>
          <w:spacing w:val="-4"/>
          <w:sz w:val="24"/>
        </w:rPr>
        <w:t xml:space="preserve"> </w:t>
      </w:r>
      <w:r>
        <w:rPr>
          <w:spacing w:val="-2"/>
          <w:sz w:val="24"/>
        </w:rPr>
        <w:t>SECTIONS</w:t>
      </w:r>
      <w:r>
        <w:rPr>
          <w:sz w:val="24"/>
        </w:rPr>
        <w:tab/>
      </w:r>
      <w:r>
        <w:rPr>
          <w:spacing w:val="-5"/>
          <w:sz w:val="24"/>
        </w:rPr>
        <w:t>XXX</w:t>
      </w:r>
    </w:p>
    <w:p w14:paraId="55D84511" w14:textId="77777777" w:rsidR="00C61063" w:rsidRDefault="00000000">
      <w:pPr>
        <w:pStyle w:val="ListParagraph"/>
        <w:numPr>
          <w:ilvl w:val="0"/>
          <w:numId w:val="2"/>
        </w:numPr>
        <w:tabs>
          <w:tab w:val="left" w:pos="460"/>
        </w:tabs>
        <w:spacing w:before="176"/>
        <w:rPr>
          <w:sz w:val="24"/>
        </w:rPr>
      </w:pPr>
      <w:r>
        <w:rPr>
          <w:spacing w:val="-2"/>
          <w:sz w:val="24"/>
        </w:rPr>
        <w:t>COMPONENTS</w:t>
      </w:r>
    </w:p>
    <w:p w14:paraId="64DE8BB1" w14:textId="77777777" w:rsidR="00C61063" w:rsidRDefault="00000000">
      <w:pPr>
        <w:pStyle w:val="ListParagraph"/>
        <w:numPr>
          <w:ilvl w:val="1"/>
          <w:numId w:val="2"/>
        </w:numPr>
        <w:tabs>
          <w:tab w:val="left" w:pos="820"/>
        </w:tabs>
        <w:spacing w:before="177"/>
        <w:jc w:val="left"/>
        <w:rPr>
          <w:sz w:val="24"/>
        </w:rPr>
      </w:pPr>
      <w:r>
        <w:rPr>
          <w:sz w:val="24"/>
        </w:rPr>
        <w:t>Mineral</w:t>
      </w:r>
      <w:r>
        <w:rPr>
          <w:spacing w:val="-3"/>
          <w:sz w:val="24"/>
        </w:rPr>
        <w:t xml:space="preserve"> </w:t>
      </w:r>
      <w:r>
        <w:rPr>
          <w:spacing w:val="-4"/>
          <w:sz w:val="24"/>
        </w:rPr>
        <w:t>Tank</w:t>
      </w:r>
    </w:p>
    <w:p w14:paraId="48A2026E" w14:textId="77777777" w:rsidR="00C61063" w:rsidRDefault="00000000">
      <w:pPr>
        <w:pStyle w:val="BodyText"/>
        <w:spacing w:before="40"/>
        <w:ind w:right="1026"/>
      </w:pPr>
      <w:r>
        <w:t>The mineral tank shall be constructed of a polyethylene liner with a continuous</w:t>
      </w:r>
      <w:r>
        <w:rPr>
          <w:spacing w:val="-5"/>
        </w:rPr>
        <w:t xml:space="preserve"> </w:t>
      </w:r>
      <w:r>
        <w:t>roving</w:t>
      </w:r>
      <w:r>
        <w:rPr>
          <w:spacing w:val="-8"/>
        </w:rPr>
        <w:t xml:space="preserve"> </w:t>
      </w:r>
      <w:r>
        <w:t>outer</w:t>
      </w:r>
      <w:r>
        <w:rPr>
          <w:spacing w:val="-7"/>
        </w:rPr>
        <w:t xml:space="preserve"> </w:t>
      </w:r>
      <w:r>
        <w:t>fiberglass</w:t>
      </w:r>
      <w:r>
        <w:rPr>
          <w:spacing w:val="-7"/>
        </w:rPr>
        <w:t xml:space="preserve"> </w:t>
      </w:r>
      <w:r>
        <w:t>reinforced</w:t>
      </w:r>
      <w:r>
        <w:rPr>
          <w:spacing w:val="-7"/>
        </w:rPr>
        <w:t xml:space="preserve"> </w:t>
      </w:r>
      <w:r>
        <w:t>wrapping.</w:t>
      </w:r>
      <w:r>
        <w:rPr>
          <w:spacing w:val="-7"/>
        </w:rPr>
        <w:t xml:space="preserve"> </w:t>
      </w:r>
      <w:r>
        <w:t>The tank</w:t>
      </w:r>
      <w:r>
        <w:rPr>
          <w:spacing w:val="-5"/>
        </w:rPr>
        <w:t xml:space="preserve"> </w:t>
      </w:r>
      <w:r>
        <w:t>shall</w:t>
      </w:r>
      <w:r>
        <w:rPr>
          <w:spacing w:val="-4"/>
        </w:rPr>
        <w:t xml:space="preserve"> </w:t>
      </w:r>
      <w:r>
        <w:t>be</w:t>
      </w:r>
    </w:p>
    <w:p w14:paraId="0A441CD7" w14:textId="7769E2A4" w:rsidR="00C61063" w:rsidRDefault="00000000">
      <w:pPr>
        <w:pStyle w:val="BodyText"/>
        <w:ind w:right="449"/>
      </w:pPr>
      <w:r>
        <w:t>Non-ASME</w:t>
      </w:r>
      <w:r>
        <w:rPr>
          <w:spacing w:val="-3"/>
        </w:rPr>
        <w:t xml:space="preserve"> </w:t>
      </w:r>
      <w:r>
        <w:t>code</w:t>
      </w:r>
      <w:r>
        <w:rPr>
          <w:spacing w:val="-3"/>
        </w:rPr>
        <w:t xml:space="preserve"> </w:t>
      </w:r>
      <w:r>
        <w:t>with</w:t>
      </w:r>
      <w:r>
        <w:rPr>
          <w:spacing w:val="-2"/>
        </w:rPr>
        <w:t xml:space="preserve"> </w:t>
      </w:r>
      <w:r>
        <w:t>a</w:t>
      </w:r>
      <w:r>
        <w:rPr>
          <w:spacing w:val="-2"/>
        </w:rPr>
        <w:t xml:space="preserve"> </w:t>
      </w:r>
      <w:r>
        <w:t>150</w:t>
      </w:r>
      <w:r>
        <w:rPr>
          <w:spacing w:val="-2"/>
        </w:rPr>
        <w:t xml:space="preserve"> </w:t>
      </w:r>
      <w:r>
        <w:t>psi</w:t>
      </w:r>
      <w:r>
        <w:rPr>
          <w:spacing w:val="-2"/>
        </w:rPr>
        <w:t xml:space="preserve"> </w:t>
      </w:r>
      <w:r>
        <w:t>maximum</w:t>
      </w:r>
      <w:r>
        <w:rPr>
          <w:spacing w:val="-2"/>
        </w:rPr>
        <w:t xml:space="preserve"> </w:t>
      </w:r>
      <w:r>
        <w:t>pressure</w:t>
      </w:r>
      <w:r>
        <w:rPr>
          <w:spacing w:val="-4"/>
        </w:rPr>
        <w:t xml:space="preserve"> </w:t>
      </w:r>
      <w:r>
        <w:t>rating,</w:t>
      </w:r>
      <w:r>
        <w:rPr>
          <w:spacing w:val="-4"/>
        </w:rPr>
        <w:t xml:space="preserve"> </w:t>
      </w:r>
      <w:r>
        <w:t>120</w:t>
      </w:r>
      <w:r>
        <w:rPr>
          <w:spacing w:val="-4"/>
        </w:rPr>
        <w:t xml:space="preserve"> </w:t>
      </w:r>
      <w:r>
        <w:t>deg.</w:t>
      </w:r>
      <w:r>
        <w:rPr>
          <w:spacing w:val="23"/>
        </w:rPr>
        <w:t xml:space="preserve"> </w:t>
      </w:r>
      <w:r>
        <w:t>F</w:t>
      </w:r>
      <w:r>
        <w:rPr>
          <w:spacing w:val="-3"/>
        </w:rPr>
        <w:t xml:space="preserve"> </w:t>
      </w:r>
      <w:r>
        <w:t>(48</w:t>
      </w:r>
      <w:r>
        <w:rPr>
          <w:spacing w:val="-2"/>
        </w:rPr>
        <w:t xml:space="preserve"> </w:t>
      </w:r>
      <w:r>
        <w:t>deg. C)</w:t>
      </w:r>
      <w:r>
        <w:rPr>
          <w:spacing w:val="-4"/>
        </w:rPr>
        <w:t xml:space="preserve"> </w:t>
      </w:r>
      <w:r>
        <w:t>maximum</w:t>
      </w:r>
      <w:r>
        <w:rPr>
          <w:spacing w:val="-3"/>
        </w:rPr>
        <w:t xml:space="preserve"> </w:t>
      </w:r>
      <w:r>
        <w:t>temperature</w:t>
      </w:r>
      <w:r>
        <w:rPr>
          <w:spacing w:val="-11"/>
        </w:rPr>
        <w:t xml:space="preserve"> </w:t>
      </w:r>
      <w:r>
        <w:t>rating,</w:t>
      </w:r>
      <w:r>
        <w:rPr>
          <w:spacing w:val="-5"/>
        </w:rPr>
        <w:t xml:space="preserve"> </w:t>
      </w:r>
      <w:r>
        <w:t>and certified</w:t>
      </w:r>
      <w:r>
        <w:rPr>
          <w:spacing w:val="-3"/>
        </w:rPr>
        <w:t xml:space="preserve"> </w:t>
      </w:r>
      <w:r>
        <w:t>to NSF/ANSI</w:t>
      </w:r>
      <w:r>
        <w:rPr>
          <w:spacing w:val="-26"/>
        </w:rPr>
        <w:t xml:space="preserve"> </w:t>
      </w:r>
      <w:r>
        <w:t>Standard</w:t>
      </w:r>
      <w:r>
        <w:rPr>
          <w:spacing w:val="-3"/>
        </w:rPr>
        <w:t xml:space="preserve"> </w:t>
      </w:r>
      <w:r>
        <w:t>44</w:t>
      </w:r>
      <w:r>
        <w:rPr>
          <w:spacing w:val="-3"/>
        </w:rPr>
        <w:t xml:space="preserve"> </w:t>
      </w:r>
      <w:r>
        <w:t>or</w:t>
      </w:r>
      <w:r>
        <w:rPr>
          <w:spacing w:val="-3"/>
        </w:rPr>
        <w:t xml:space="preserve"> </w:t>
      </w:r>
      <w:r>
        <w:t>61. Tanks 14” in diameter and larger shall have a bottom base permanently installed</w:t>
      </w:r>
      <w:r>
        <w:rPr>
          <w:spacing w:val="-8"/>
        </w:rPr>
        <w:t xml:space="preserve"> </w:t>
      </w:r>
      <w:r>
        <w:t>with</w:t>
      </w:r>
      <w:r>
        <w:rPr>
          <w:spacing w:val="-8"/>
        </w:rPr>
        <w:t xml:space="preserve"> </w:t>
      </w:r>
      <w:r>
        <w:t>industrial</w:t>
      </w:r>
      <w:r w:rsidR="009A36EB">
        <w:rPr>
          <w:spacing w:val="40"/>
        </w:rPr>
        <w:t>-</w:t>
      </w:r>
      <w:r>
        <w:t>grade</w:t>
      </w:r>
      <w:r>
        <w:rPr>
          <w:spacing w:val="-9"/>
        </w:rPr>
        <w:t xml:space="preserve"> </w:t>
      </w:r>
      <w:r>
        <w:t>adhesive.</w:t>
      </w:r>
      <w:r>
        <w:rPr>
          <w:spacing w:val="-3"/>
        </w:rPr>
        <w:t xml:space="preserve"> </w:t>
      </w:r>
      <w:r>
        <w:t>The</w:t>
      </w:r>
      <w:r>
        <w:rPr>
          <w:spacing w:val="-12"/>
        </w:rPr>
        <w:t xml:space="preserve"> </w:t>
      </w:r>
      <w:r>
        <w:t>tanks</w:t>
      </w:r>
      <w:r>
        <w:rPr>
          <w:spacing w:val="-4"/>
        </w:rPr>
        <w:t xml:space="preserve"> </w:t>
      </w:r>
      <w:r>
        <w:t>shall</w:t>
      </w:r>
      <w:r>
        <w:rPr>
          <w:spacing w:val="-3"/>
        </w:rPr>
        <w:t xml:space="preserve"> </w:t>
      </w:r>
      <w:r>
        <w:t>come</w:t>
      </w:r>
      <w:r>
        <w:rPr>
          <w:spacing w:val="-5"/>
        </w:rPr>
        <w:t xml:space="preserve"> </w:t>
      </w:r>
      <w:r>
        <w:t>with</w:t>
      </w:r>
      <w:r>
        <w:rPr>
          <w:spacing w:val="-3"/>
        </w:rPr>
        <w:t xml:space="preserve"> </w:t>
      </w:r>
      <w:r>
        <w:t>a</w:t>
      </w:r>
      <w:r>
        <w:rPr>
          <w:spacing w:val="-3"/>
        </w:rPr>
        <w:t xml:space="preserve"> </w:t>
      </w:r>
      <w:r>
        <w:t>4”</w:t>
      </w:r>
      <w:r>
        <w:rPr>
          <w:spacing w:val="-12"/>
        </w:rPr>
        <w:t xml:space="preserve"> </w:t>
      </w:r>
      <w:r>
        <w:t xml:space="preserve">or 2.5” </w:t>
      </w:r>
      <w:r w:rsidR="009A36EB">
        <w:t xml:space="preserve">Stainless Steel </w:t>
      </w:r>
      <w:r>
        <w:t>top</w:t>
      </w:r>
      <w:r>
        <w:rPr>
          <w:spacing w:val="-3"/>
        </w:rPr>
        <w:t xml:space="preserve"> </w:t>
      </w:r>
      <w:r>
        <w:t>threaded</w:t>
      </w:r>
      <w:r>
        <w:rPr>
          <w:spacing w:val="-3"/>
        </w:rPr>
        <w:t xml:space="preserve"> </w:t>
      </w:r>
      <w:r>
        <w:t>port</w:t>
      </w:r>
      <w:r w:rsidR="009A36EB">
        <w:t xml:space="preserve"> rates for 150 psi water pressure</w:t>
      </w:r>
      <w:r>
        <w:rPr>
          <w:spacing w:val="-3"/>
        </w:rPr>
        <w:t xml:space="preserve"> </w:t>
      </w:r>
      <w:r>
        <w:t>for</w:t>
      </w:r>
      <w:r>
        <w:rPr>
          <w:spacing w:val="-8"/>
        </w:rPr>
        <w:t xml:space="preserve"> </w:t>
      </w:r>
      <w:r>
        <w:t>loading</w:t>
      </w:r>
      <w:r>
        <w:rPr>
          <w:spacing w:val="-2"/>
        </w:rPr>
        <w:t xml:space="preserve"> </w:t>
      </w:r>
      <w:r>
        <w:t>media</w:t>
      </w:r>
      <w:r>
        <w:rPr>
          <w:spacing w:val="-5"/>
        </w:rPr>
        <w:t xml:space="preserve"> </w:t>
      </w:r>
      <w:r>
        <w:t>and connection</w:t>
      </w:r>
      <w:r>
        <w:rPr>
          <w:spacing w:val="-3"/>
        </w:rPr>
        <w:t xml:space="preserve"> </w:t>
      </w:r>
      <w:r>
        <w:t>of</w:t>
      </w:r>
      <w:r>
        <w:rPr>
          <w:spacing w:val="-2"/>
        </w:rPr>
        <w:t xml:space="preserve"> </w:t>
      </w:r>
      <w:r>
        <w:t>the</w:t>
      </w:r>
      <w:r>
        <w:rPr>
          <w:spacing w:val="-3"/>
        </w:rPr>
        <w:t xml:space="preserve"> </w:t>
      </w:r>
      <w:r>
        <w:t>plumbing</w:t>
      </w:r>
      <w:r>
        <w:rPr>
          <w:spacing w:val="-3"/>
        </w:rPr>
        <w:t xml:space="preserve"> </w:t>
      </w:r>
      <w:r>
        <w:t xml:space="preserve">manifolds. The tank shall be designed with a safety factor of 4:1 for minimum burst </w:t>
      </w:r>
      <w:r>
        <w:rPr>
          <w:spacing w:val="-2"/>
        </w:rPr>
        <w:t>pressure.</w:t>
      </w:r>
    </w:p>
    <w:p w14:paraId="721326A4" w14:textId="77777777" w:rsidR="00C61063" w:rsidRDefault="00000000">
      <w:pPr>
        <w:pStyle w:val="ListParagraph"/>
        <w:numPr>
          <w:ilvl w:val="1"/>
          <w:numId w:val="2"/>
        </w:numPr>
        <w:tabs>
          <w:tab w:val="left" w:pos="760"/>
        </w:tabs>
        <w:spacing w:before="172"/>
        <w:ind w:left="760"/>
        <w:jc w:val="left"/>
        <w:rPr>
          <w:sz w:val="24"/>
        </w:rPr>
      </w:pPr>
      <w:r>
        <w:rPr>
          <w:sz w:val="24"/>
        </w:rPr>
        <w:t>Scale</w:t>
      </w:r>
      <w:r>
        <w:rPr>
          <w:spacing w:val="-3"/>
          <w:sz w:val="24"/>
        </w:rPr>
        <w:t xml:space="preserve"> </w:t>
      </w:r>
      <w:r>
        <w:rPr>
          <w:sz w:val="24"/>
        </w:rPr>
        <w:t xml:space="preserve">Prevention </w:t>
      </w:r>
      <w:r>
        <w:rPr>
          <w:spacing w:val="-2"/>
          <w:sz w:val="24"/>
        </w:rPr>
        <w:t>Media</w:t>
      </w:r>
    </w:p>
    <w:p w14:paraId="63BE46CE" w14:textId="7A7B07E6" w:rsidR="00C61063" w:rsidRDefault="00000000">
      <w:pPr>
        <w:pStyle w:val="BodyText"/>
        <w:spacing w:before="21"/>
        <w:ind w:right="588"/>
      </w:pPr>
      <w:r>
        <w:t>The</w:t>
      </w:r>
      <w:r>
        <w:rPr>
          <w:spacing w:val="-6"/>
        </w:rPr>
        <w:t xml:space="preserve"> </w:t>
      </w:r>
      <w:r>
        <w:t>scale</w:t>
      </w:r>
      <w:r>
        <w:rPr>
          <w:spacing w:val="-6"/>
        </w:rPr>
        <w:t xml:space="preserve"> </w:t>
      </w:r>
      <w:r>
        <w:t>prevention</w:t>
      </w:r>
      <w:r>
        <w:rPr>
          <w:spacing w:val="-6"/>
        </w:rPr>
        <w:t xml:space="preserve"> </w:t>
      </w:r>
      <w:r>
        <w:t>media</w:t>
      </w:r>
      <w:r>
        <w:rPr>
          <w:spacing w:val="-6"/>
        </w:rPr>
        <w:t xml:space="preserve"> </w:t>
      </w:r>
      <w:r>
        <w:t>shall</w:t>
      </w:r>
      <w:r>
        <w:rPr>
          <w:spacing w:val="18"/>
        </w:rPr>
        <w:t xml:space="preserve"> </w:t>
      </w:r>
      <w:r>
        <w:t>convert</w:t>
      </w:r>
      <w:r>
        <w:rPr>
          <w:spacing w:val="-4"/>
        </w:rPr>
        <w:t xml:space="preserve"> </w:t>
      </w:r>
      <w:r>
        <w:t>dissolved</w:t>
      </w:r>
      <w:r>
        <w:rPr>
          <w:spacing w:val="-3"/>
        </w:rPr>
        <w:t xml:space="preserve"> </w:t>
      </w:r>
      <w:r w:rsidR="009A36EB">
        <w:t>bicarbonate-related</w:t>
      </w:r>
      <w:r>
        <w:rPr>
          <w:spacing w:val="-4"/>
        </w:rPr>
        <w:t xml:space="preserve"> </w:t>
      </w:r>
      <w:r>
        <w:t xml:space="preserve">water hardness into inactive non-scale forming </w:t>
      </w:r>
      <w:proofErr w:type="gramStart"/>
      <w:r>
        <w:t>nano-crystals</w:t>
      </w:r>
      <w:proofErr w:type="gramEnd"/>
      <w:r>
        <w:t>. The media shall operate in an up</w:t>
      </w:r>
      <w:r w:rsidR="009A36EB">
        <w:t>-</w:t>
      </w:r>
      <w:r>
        <w:t>flow flow mode and shall not require backwashing or chemicals for regeneration. The media shall be certified to NSF/ANSI/CAN standard 61 and NSF/ANSI/CAN standard 372.</w:t>
      </w:r>
    </w:p>
    <w:p w14:paraId="15AF35F7" w14:textId="77777777" w:rsidR="00C61063" w:rsidRDefault="00000000">
      <w:pPr>
        <w:pStyle w:val="ListParagraph"/>
        <w:numPr>
          <w:ilvl w:val="1"/>
          <w:numId w:val="2"/>
        </w:numPr>
        <w:tabs>
          <w:tab w:val="left" w:pos="757"/>
        </w:tabs>
        <w:spacing w:before="190"/>
        <w:ind w:left="757" w:hanging="362"/>
        <w:jc w:val="left"/>
        <w:rPr>
          <w:sz w:val="24"/>
        </w:rPr>
      </w:pPr>
      <w:r>
        <w:rPr>
          <w:sz w:val="24"/>
        </w:rPr>
        <w:t>Internal</w:t>
      </w:r>
      <w:r>
        <w:rPr>
          <w:spacing w:val="-3"/>
          <w:sz w:val="24"/>
        </w:rPr>
        <w:t xml:space="preserve"> </w:t>
      </w:r>
      <w:r>
        <w:rPr>
          <w:sz w:val="24"/>
        </w:rPr>
        <w:t>Distributor</w:t>
      </w:r>
      <w:r>
        <w:rPr>
          <w:spacing w:val="-3"/>
          <w:sz w:val="24"/>
        </w:rPr>
        <w:t xml:space="preserve"> </w:t>
      </w:r>
      <w:r>
        <w:rPr>
          <w:spacing w:val="-2"/>
          <w:sz w:val="24"/>
        </w:rPr>
        <w:t>System</w:t>
      </w:r>
    </w:p>
    <w:p w14:paraId="7DB5F222" w14:textId="77777777" w:rsidR="00C61063" w:rsidRDefault="00000000">
      <w:pPr>
        <w:pStyle w:val="BodyText"/>
        <w:spacing w:before="79"/>
        <w:ind w:left="1166" w:right="588"/>
      </w:pPr>
      <w:r>
        <w:t>The internal distributor system shall come already installed in the scale prevention system’s mineral tank. There shall be one upper distributor and one</w:t>
      </w:r>
      <w:r>
        <w:rPr>
          <w:spacing w:val="-5"/>
        </w:rPr>
        <w:t xml:space="preserve"> </w:t>
      </w:r>
      <w:r>
        <w:t>lower</w:t>
      </w:r>
      <w:r>
        <w:rPr>
          <w:spacing w:val="-5"/>
        </w:rPr>
        <w:t xml:space="preserve"> </w:t>
      </w:r>
      <w:r>
        <w:t>distributor</w:t>
      </w:r>
      <w:r>
        <w:rPr>
          <w:spacing w:val="-5"/>
        </w:rPr>
        <w:t xml:space="preserve"> </w:t>
      </w:r>
      <w:r>
        <w:t>screen</w:t>
      </w:r>
      <w:r>
        <w:rPr>
          <w:spacing w:val="-5"/>
        </w:rPr>
        <w:t xml:space="preserve"> </w:t>
      </w:r>
      <w:r>
        <w:t>to</w:t>
      </w:r>
      <w:r>
        <w:rPr>
          <w:spacing w:val="-5"/>
        </w:rPr>
        <w:t xml:space="preserve"> </w:t>
      </w:r>
      <w:r>
        <w:t>ensure</w:t>
      </w:r>
      <w:r>
        <w:rPr>
          <w:spacing w:val="-5"/>
        </w:rPr>
        <w:t xml:space="preserve"> </w:t>
      </w:r>
      <w:r>
        <w:t>that</w:t>
      </w:r>
      <w:r>
        <w:rPr>
          <w:spacing w:val="-5"/>
        </w:rPr>
        <w:t xml:space="preserve"> </w:t>
      </w:r>
      <w:r>
        <w:t>the</w:t>
      </w:r>
      <w:r>
        <w:rPr>
          <w:spacing w:val="-5"/>
        </w:rPr>
        <w:t xml:space="preserve"> </w:t>
      </w:r>
      <w:r>
        <w:t>media</w:t>
      </w:r>
      <w:r>
        <w:rPr>
          <w:spacing w:val="-5"/>
        </w:rPr>
        <w:t xml:space="preserve"> </w:t>
      </w:r>
      <w:r>
        <w:t>cannot</w:t>
      </w:r>
      <w:r>
        <w:rPr>
          <w:spacing w:val="-5"/>
        </w:rPr>
        <w:t xml:space="preserve"> </w:t>
      </w:r>
      <w:r>
        <w:t>be</w:t>
      </w:r>
      <w:r>
        <w:rPr>
          <w:spacing w:val="-5"/>
        </w:rPr>
        <w:t xml:space="preserve"> </w:t>
      </w:r>
      <w:r>
        <w:t>washed</w:t>
      </w:r>
      <w:r>
        <w:rPr>
          <w:spacing w:val="-5"/>
        </w:rPr>
        <w:t xml:space="preserve"> </w:t>
      </w:r>
      <w:r>
        <w:t>out</w:t>
      </w:r>
      <w:r>
        <w:rPr>
          <w:spacing w:val="-5"/>
        </w:rPr>
        <w:t xml:space="preserve"> </w:t>
      </w:r>
      <w:r>
        <w:t xml:space="preserve">of the tank regardless of flow direction. The screens of the internal distribution system shall be </w:t>
      </w:r>
      <w:proofErr w:type="gramStart"/>
      <w:r>
        <w:t>a slotted</w:t>
      </w:r>
      <w:proofErr w:type="gramEnd"/>
      <w:r>
        <w:t xml:space="preserve"> screen type diffuser.</w:t>
      </w:r>
    </w:p>
    <w:p w14:paraId="48170567" w14:textId="77777777" w:rsidR="00C61063" w:rsidRDefault="00C61063">
      <w:pPr>
        <w:sectPr w:rsidR="00C61063">
          <w:headerReference w:type="default" r:id="rId7"/>
          <w:type w:val="continuous"/>
          <w:pgSz w:w="12240" w:h="15840"/>
          <w:pgMar w:top="1600" w:right="1340" w:bottom="280" w:left="1700" w:header="713" w:footer="0" w:gutter="0"/>
          <w:pgNumType w:start="1"/>
          <w:cols w:space="720"/>
        </w:sectPr>
      </w:pPr>
    </w:p>
    <w:p w14:paraId="36370E6B" w14:textId="77777777" w:rsidR="00C61063" w:rsidRDefault="00C61063">
      <w:pPr>
        <w:pStyle w:val="BodyText"/>
        <w:ind w:left="0"/>
      </w:pPr>
    </w:p>
    <w:p w14:paraId="7930FC14" w14:textId="77777777" w:rsidR="00C61063" w:rsidRDefault="00C61063">
      <w:pPr>
        <w:pStyle w:val="BodyText"/>
        <w:spacing w:before="215"/>
        <w:ind w:left="0"/>
      </w:pPr>
    </w:p>
    <w:p w14:paraId="674389F8" w14:textId="5DB90362" w:rsidR="00C61063" w:rsidRDefault="00000000">
      <w:pPr>
        <w:pStyle w:val="BodyText"/>
        <w:spacing w:before="1"/>
        <w:ind w:left="1187" w:right="268"/>
      </w:pPr>
      <w:r>
        <w:t xml:space="preserve">The slots shall be sized to not allow the scale prevention media to pass through and become present in the </w:t>
      </w:r>
      <w:r w:rsidR="009A36EB">
        <w:t>system's</w:t>
      </w:r>
      <w:r>
        <w:t xml:space="preserve"> effluent water. The lower distributor shall be equipped with a </w:t>
      </w:r>
      <w:r w:rsidR="009A36EB">
        <w:t>downward-pointing</w:t>
      </w:r>
      <w:r>
        <w:t xml:space="preserve"> shroud to direct water to the bottom most portion of the media bed before it travels upward through the media. For</w:t>
      </w:r>
      <w:r>
        <w:rPr>
          <w:spacing w:val="40"/>
        </w:rPr>
        <w:t xml:space="preserve"> </w:t>
      </w:r>
      <w:r>
        <w:t>systems</w:t>
      </w:r>
      <w:r>
        <w:rPr>
          <w:spacing w:val="-5"/>
        </w:rPr>
        <w:t xml:space="preserve"> </w:t>
      </w:r>
      <w:r>
        <w:t>10”</w:t>
      </w:r>
      <w:r>
        <w:rPr>
          <w:spacing w:val="-4"/>
        </w:rPr>
        <w:t xml:space="preserve"> </w:t>
      </w:r>
      <w:r w:rsidR="009A36EB">
        <w:rPr>
          <w:spacing w:val="-4"/>
        </w:rPr>
        <w:t xml:space="preserve">in </w:t>
      </w:r>
      <w:r>
        <w:t>diameter</w:t>
      </w:r>
      <w:r>
        <w:rPr>
          <w:spacing w:val="-6"/>
        </w:rPr>
        <w:t xml:space="preserve"> </w:t>
      </w:r>
      <w:r>
        <w:t>and</w:t>
      </w:r>
      <w:r>
        <w:rPr>
          <w:spacing w:val="-4"/>
        </w:rPr>
        <w:t xml:space="preserve"> </w:t>
      </w:r>
      <w:r>
        <w:t>smaller,</w:t>
      </w:r>
      <w:r>
        <w:rPr>
          <w:spacing w:val="-4"/>
        </w:rPr>
        <w:t xml:space="preserve"> </w:t>
      </w:r>
      <w:r>
        <w:t>the</w:t>
      </w:r>
      <w:r>
        <w:rPr>
          <w:spacing w:val="-6"/>
        </w:rPr>
        <w:t xml:space="preserve"> </w:t>
      </w:r>
      <w:r>
        <w:t>internal</w:t>
      </w:r>
      <w:r>
        <w:rPr>
          <w:spacing w:val="-4"/>
        </w:rPr>
        <w:t xml:space="preserve"> </w:t>
      </w:r>
      <w:r>
        <w:t>distribution</w:t>
      </w:r>
      <w:r>
        <w:rPr>
          <w:spacing w:val="-4"/>
        </w:rPr>
        <w:t xml:space="preserve"> </w:t>
      </w:r>
      <w:r>
        <w:t>screens</w:t>
      </w:r>
      <w:r>
        <w:rPr>
          <w:spacing w:val="-3"/>
        </w:rPr>
        <w:t xml:space="preserve"> </w:t>
      </w:r>
      <w:r>
        <w:t>shall</w:t>
      </w:r>
      <w:r>
        <w:rPr>
          <w:spacing w:val="-4"/>
        </w:rPr>
        <w:t xml:space="preserve"> </w:t>
      </w:r>
      <w:r>
        <w:t>be</w:t>
      </w:r>
      <w:r>
        <w:rPr>
          <w:spacing w:val="-5"/>
        </w:rPr>
        <w:t xml:space="preserve"> </w:t>
      </w:r>
      <w:r>
        <w:t xml:space="preserve">made of </w:t>
      </w:r>
      <w:r w:rsidR="009A36EB">
        <w:t>abrasion-resistant</w:t>
      </w:r>
      <w:r>
        <w:t xml:space="preserve"> 20% </w:t>
      </w:r>
      <w:r w:rsidR="009A36EB">
        <w:t>glass-filled</w:t>
      </w:r>
      <w:r>
        <w:t xml:space="preserve"> polypropylene. For systems 12” in diameter and larger the screens shall be constructed of PVC.</w:t>
      </w:r>
    </w:p>
    <w:p w14:paraId="2510CEEE" w14:textId="77777777" w:rsidR="00C61063" w:rsidRDefault="00000000">
      <w:pPr>
        <w:pStyle w:val="ListParagraph"/>
        <w:numPr>
          <w:ilvl w:val="1"/>
          <w:numId w:val="1"/>
        </w:numPr>
        <w:tabs>
          <w:tab w:val="left" w:pos="760"/>
        </w:tabs>
        <w:spacing w:before="264"/>
        <w:ind w:hanging="362"/>
        <w:rPr>
          <w:sz w:val="24"/>
        </w:rPr>
      </w:pPr>
      <w:r>
        <w:rPr>
          <w:sz w:val="24"/>
        </w:rPr>
        <w:t xml:space="preserve">Plumbing </w:t>
      </w:r>
      <w:r>
        <w:rPr>
          <w:spacing w:val="-2"/>
          <w:sz w:val="24"/>
        </w:rPr>
        <w:t>Manifold</w:t>
      </w:r>
    </w:p>
    <w:p w14:paraId="10DF4027" w14:textId="77777777" w:rsidR="00C61063" w:rsidRDefault="00000000">
      <w:pPr>
        <w:pStyle w:val="BodyText"/>
        <w:spacing w:before="121"/>
        <w:ind w:left="1184" w:right="588"/>
      </w:pPr>
      <w:r>
        <w:t>The</w:t>
      </w:r>
      <w:r>
        <w:rPr>
          <w:spacing w:val="-3"/>
        </w:rPr>
        <w:t xml:space="preserve"> </w:t>
      </w:r>
      <w:r>
        <w:t>system</w:t>
      </w:r>
      <w:r>
        <w:rPr>
          <w:spacing w:val="-3"/>
        </w:rPr>
        <w:t xml:space="preserve"> </w:t>
      </w:r>
      <w:r>
        <w:t>shall</w:t>
      </w:r>
      <w:r>
        <w:rPr>
          <w:spacing w:val="-3"/>
        </w:rPr>
        <w:t xml:space="preserve"> </w:t>
      </w:r>
      <w:r>
        <w:t>include</w:t>
      </w:r>
      <w:r>
        <w:rPr>
          <w:spacing w:val="-5"/>
        </w:rPr>
        <w:t xml:space="preserve"> </w:t>
      </w:r>
      <w:r>
        <w:t>a</w:t>
      </w:r>
      <w:r>
        <w:rPr>
          <w:spacing w:val="-3"/>
        </w:rPr>
        <w:t xml:space="preserve"> </w:t>
      </w:r>
      <w:r>
        <w:t>plumbing</w:t>
      </w:r>
      <w:r>
        <w:rPr>
          <w:spacing w:val="-3"/>
        </w:rPr>
        <w:t xml:space="preserve"> </w:t>
      </w:r>
      <w:r>
        <w:t>manifold</w:t>
      </w:r>
      <w:r>
        <w:rPr>
          <w:spacing w:val="-3"/>
        </w:rPr>
        <w:t xml:space="preserve"> </w:t>
      </w:r>
      <w:r>
        <w:t>on</w:t>
      </w:r>
      <w:r>
        <w:rPr>
          <w:spacing w:val="-3"/>
        </w:rPr>
        <w:t xml:space="preserve"> </w:t>
      </w:r>
      <w:r>
        <w:t>top</w:t>
      </w:r>
      <w:r>
        <w:rPr>
          <w:spacing w:val="-3"/>
        </w:rPr>
        <w:t xml:space="preserve"> </w:t>
      </w:r>
      <w:r>
        <w:t>of</w:t>
      </w:r>
      <w:r>
        <w:rPr>
          <w:spacing w:val="-3"/>
        </w:rPr>
        <w:t xml:space="preserve"> </w:t>
      </w:r>
      <w:r>
        <w:t>the</w:t>
      </w:r>
      <w:r>
        <w:rPr>
          <w:spacing w:val="-4"/>
        </w:rPr>
        <w:t xml:space="preserve"> </w:t>
      </w:r>
      <w:r>
        <w:t>mineral</w:t>
      </w:r>
      <w:r>
        <w:rPr>
          <w:spacing w:val="-3"/>
        </w:rPr>
        <w:t xml:space="preserve"> </w:t>
      </w:r>
      <w:r>
        <w:t>tank</w:t>
      </w:r>
      <w:r>
        <w:rPr>
          <w:spacing w:val="-3"/>
        </w:rPr>
        <w:t xml:space="preserve"> </w:t>
      </w:r>
      <w:r>
        <w:t>to allow for the connection of the inlet and outlet plumbing.</w:t>
      </w:r>
    </w:p>
    <w:p w14:paraId="6931CBB3" w14:textId="77777777" w:rsidR="009A36EB" w:rsidRDefault="009A36EB" w:rsidP="009A36EB">
      <w:pPr>
        <w:pStyle w:val="ListParagraph"/>
        <w:tabs>
          <w:tab w:val="left" w:pos="486"/>
        </w:tabs>
        <w:spacing w:before="206"/>
        <w:ind w:left="486" w:firstLine="0"/>
        <w:rPr>
          <w:sz w:val="24"/>
        </w:rPr>
      </w:pPr>
    </w:p>
    <w:p w14:paraId="62DC66C8" w14:textId="187C0753" w:rsidR="00C61063" w:rsidRDefault="00000000">
      <w:pPr>
        <w:pStyle w:val="ListParagraph"/>
        <w:numPr>
          <w:ilvl w:val="0"/>
          <w:numId w:val="2"/>
        </w:numPr>
        <w:tabs>
          <w:tab w:val="left" w:pos="486"/>
        </w:tabs>
        <w:spacing w:before="206"/>
        <w:ind w:left="486"/>
        <w:rPr>
          <w:sz w:val="24"/>
        </w:rPr>
      </w:pPr>
      <w:r>
        <w:rPr>
          <w:spacing w:val="-2"/>
          <w:sz w:val="24"/>
        </w:rPr>
        <w:t>SERVICES</w:t>
      </w:r>
    </w:p>
    <w:p w14:paraId="3C5FE3F1" w14:textId="77777777" w:rsidR="00C61063" w:rsidRDefault="00000000">
      <w:pPr>
        <w:pStyle w:val="ListParagraph"/>
        <w:numPr>
          <w:ilvl w:val="1"/>
          <w:numId w:val="2"/>
        </w:numPr>
        <w:tabs>
          <w:tab w:val="left" w:pos="786"/>
        </w:tabs>
        <w:ind w:left="786"/>
        <w:jc w:val="left"/>
        <w:rPr>
          <w:sz w:val="24"/>
        </w:rPr>
      </w:pPr>
      <w:r>
        <w:rPr>
          <w:spacing w:val="-2"/>
          <w:sz w:val="24"/>
        </w:rPr>
        <w:t>Warranty</w:t>
      </w:r>
    </w:p>
    <w:p w14:paraId="45B873DC" w14:textId="690031EE" w:rsidR="00C61063" w:rsidRDefault="00000000">
      <w:pPr>
        <w:pStyle w:val="BodyText"/>
        <w:spacing w:before="67"/>
        <w:ind w:left="1191"/>
      </w:pPr>
      <w:r>
        <w:t>The</w:t>
      </w:r>
      <w:r>
        <w:rPr>
          <w:spacing w:val="-1"/>
        </w:rPr>
        <w:t xml:space="preserve"> </w:t>
      </w:r>
      <w:r>
        <w:t>Contractor providing the equipment shall provide</w:t>
      </w:r>
      <w:r>
        <w:rPr>
          <w:spacing w:val="-2"/>
        </w:rPr>
        <w:t xml:space="preserve"> </w:t>
      </w:r>
      <w:r>
        <w:t>a</w:t>
      </w:r>
      <w:r>
        <w:rPr>
          <w:spacing w:val="-2"/>
        </w:rPr>
        <w:t xml:space="preserve"> </w:t>
      </w:r>
      <w:r w:rsidR="005F6917">
        <w:t>1-year</w:t>
      </w:r>
      <w:r>
        <w:t xml:space="preserve"> </w:t>
      </w:r>
      <w:r>
        <w:rPr>
          <w:spacing w:val="-2"/>
        </w:rPr>
        <w:t>parts</w:t>
      </w:r>
    </w:p>
    <w:p w14:paraId="50419A8F" w14:textId="17C54567" w:rsidR="00C61063" w:rsidRDefault="00000000">
      <w:pPr>
        <w:pStyle w:val="BodyText"/>
        <w:spacing w:before="1"/>
        <w:ind w:left="1191" w:right="111"/>
      </w:pPr>
      <w:r>
        <w:t xml:space="preserve">and labor warranty for the system to protect against </w:t>
      </w:r>
      <w:r w:rsidR="005F6917">
        <w:t>manufacturer</w:t>
      </w:r>
      <w:r>
        <w:t xml:space="preserve"> defects. The scale prevention media shall be warranted for a period of 2 years, from </w:t>
      </w:r>
      <w:r w:rsidR="005F6917">
        <w:t xml:space="preserve">the </w:t>
      </w:r>
      <w:r>
        <w:t>date of installation, for performance. The system shall not be subjected to water temperatures above 100 deg. F (38 deg. C) or below 40 deg. F. (5 deg. C) nor shall it be subjected to</w:t>
      </w:r>
      <w:r w:rsidR="005F6917">
        <w:t xml:space="preserve"> a</w:t>
      </w:r>
      <w:r>
        <w:t xml:space="preserve"> pressure exceeding 1</w:t>
      </w:r>
      <w:r w:rsidR="005F6917">
        <w:t>50</w:t>
      </w:r>
      <w:r>
        <w:t xml:space="preserve"> psi. During operation</w:t>
      </w:r>
      <w:r w:rsidR="005F6917">
        <w:t>,</w:t>
      </w:r>
      <w:r>
        <w:t xml:space="preserve"> the feed water</w:t>
      </w:r>
      <w:r>
        <w:rPr>
          <w:spacing w:val="-5"/>
        </w:rPr>
        <w:t xml:space="preserve"> </w:t>
      </w:r>
      <w:r>
        <w:t>pressure</w:t>
      </w:r>
      <w:r>
        <w:rPr>
          <w:spacing w:val="-5"/>
        </w:rPr>
        <w:t xml:space="preserve"> </w:t>
      </w:r>
      <w:r>
        <w:t>must</w:t>
      </w:r>
      <w:r>
        <w:rPr>
          <w:spacing w:val="-3"/>
        </w:rPr>
        <w:t xml:space="preserve"> </w:t>
      </w:r>
      <w:r>
        <w:t>not</w:t>
      </w:r>
      <w:r>
        <w:rPr>
          <w:spacing w:val="-3"/>
        </w:rPr>
        <w:t xml:space="preserve"> </w:t>
      </w:r>
      <w:r>
        <w:t>fall</w:t>
      </w:r>
      <w:r>
        <w:rPr>
          <w:spacing w:val="-4"/>
        </w:rPr>
        <w:t xml:space="preserve"> </w:t>
      </w:r>
      <w:r>
        <w:t>below</w:t>
      </w:r>
      <w:r>
        <w:rPr>
          <w:spacing w:val="-3"/>
        </w:rPr>
        <w:t xml:space="preserve"> </w:t>
      </w:r>
      <w:r>
        <w:t>15</w:t>
      </w:r>
      <w:r>
        <w:rPr>
          <w:spacing w:val="-3"/>
        </w:rPr>
        <w:t xml:space="preserve"> </w:t>
      </w:r>
      <w:r>
        <w:t>psi.</w:t>
      </w:r>
      <w:r>
        <w:rPr>
          <w:spacing w:val="-2"/>
        </w:rPr>
        <w:t xml:space="preserve"> </w:t>
      </w:r>
      <w:r>
        <w:t>Appropriately</w:t>
      </w:r>
      <w:r>
        <w:rPr>
          <w:spacing w:val="-9"/>
        </w:rPr>
        <w:t xml:space="preserve"> </w:t>
      </w:r>
      <w:r>
        <w:t>sized</w:t>
      </w:r>
      <w:r>
        <w:rPr>
          <w:spacing w:val="-8"/>
        </w:rPr>
        <w:t xml:space="preserve"> </w:t>
      </w:r>
      <w:r>
        <w:t>flex</w:t>
      </w:r>
      <w:r>
        <w:rPr>
          <w:spacing w:val="-8"/>
        </w:rPr>
        <w:t xml:space="preserve"> </w:t>
      </w:r>
      <w:r>
        <w:t>connectors</w:t>
      </w:r>
      <w:r>
        <w:rPr>
          <w:spacing w:val="-1"/>
        </w:rPr>
        <w:t xml:space="preserve"> </w:t>
      </w:r>
      <w:r>
        <w:t xml:space="preserve">and vacuum breakers shall be used on all commercial installations as required by the installation instructions. The media shall not be subjected to iron levels greater than .3 ppm, manganese greater than .05 ppm, total phosphates greater than 3 ppm, copper greater than 1.3 ppm, pH below 6.5 or higher than </w:t>
      </w:r>
      <w:r w:rsidR="005F6917">
        <w:t>9</w:t>
      </w:r>
      <w:r>
        <w:t>.5, free chlorine greater than 2 ppm, and any oil or grease.</w:t>
      </w:r>
    </w:p>
    <w:p w14:paraId="7FD33F67" w14:textId="77777777" w:rsidR="00C61063" w:rsidRDefault="00000000">
      <w:pPr>
        <w:pStyle w:val="ListParagraph"/>
        <w:numPr>
          <w:ilvl w:val="1"/>
          <w:numId w:val="2"/>
        </w:numPr>
        <w:tabs>
          <w:tab w:val="left" w:pos="778"/>
        </w:tabs>
        <w:spacing w:before="173"/>
        <w:ind w:left="778"/>
        <w:jc w:val="left"/>
        <w:rPr>
          <w:sz w:val="24"/>
        </w:rPr>
      </w:pPr>
      <w:r>
        <w:rPr>
          <w:sz w:val="24"/>
        </w:rPr>
        <w:t>Start</w:t>
      </w:r>
      <w:r>
        <w:rPr>
          <w:spacing w:val="-2"/>
          <w:sz w:val="24"/>
        </w:rPr>
        <w:t xml:space="preserve"> </w:t>
      </w:r>
      <w:r>
        <w:rPr>
          <w:spacing w:val="-5"/>
          <w:sz w:val="24"/>
        </w:rPr>
        <w:t>Up</w:t>
      </w:r>
    </w:p>
    <w:p w14:paraId="6634625A" w14:textId="79F1E863" w:rsidR="00C61063" w:rsidRDefault="00000000">
      <w:pPr>
        <w:pStyle w:val="BodyText"/>
        <w:spacing w:before="72"/>
        <w:ind w:left="1190" w:right="178"/>
      </w:pPr>
      <w:r>
        <w:t xml:space="preserve">The Contractor providing the equipment shall provide </w:t>
      </w:r>
      <w:r w:rsidR="005F6917">
        <w:t>the start-up</w:t>
      </w:r>
      <w:r>
        <w:t xml:space="preserve"> of the scale prevention</w:t>
      </w:r>
      <w:r>
        <w:rPr>
          <w:spacing w:val="-4"/>
        </w:rPr>
        <w:t xml:space="preserve"> </w:t>
      </w:r>
      <w:r>
        <w:t>system</w:t>
      </w:r>
      <w:r>
        <w:rPr>
          <w:spacing w:val="-4"/>
        </w:rPr>
        <w:t xml:space="preserve"> </w:t>
      </w:r>
      <w:r>
        <w:t>and</w:t>
      </w:r>
      <w:r>
        <w:rPr>
          <w:spacing w:val="-4"/>
        </w:rPr>
        <w:t xml:space="preserve"> </w:t>
      </w:r>
      <w:r>
        <w:t>perform</w:t>
      </w:r>
      <w:r>
        <w:rPr>
          <w:spacing w:val="-4"/>
        </w:rPr>
        <w:t xml:space="preserve"> </w:t>
      </w:r>
      <w:r>
        <w:t>operator</w:t>
      </w:r>
      <w:r>
        <w:rPr>
          <w:spacing w:val="-4"/>
        </w:rPr>
        <w:t xml:space="preserve"> </w:t>
      </w:r>
      <w:r>
        <w:t>training</w:t>
      </w:r>
      <w:r>
        <w:rPr>
          <w:spacing w:val="-4"/>
        </w:rPr>
        <w:t xml:space="preserve"> </w:t>
      </w:r>
      <w:r>
        <w:t>for</w:t>
      </w:r>
      <w:r>
        <w:rPr>
          <w:spacing w:val="-4"/>
        </w:rPr>
        <w:t xml:space="preserve"> </w:t>
      </w:r>
      <w:r>
        <w:t>the</w:t>
      </w:r>
      <w:r>
        <w:rPr>
          <w:spacing w:val="-4"/>
        </w:rPr>
        <w:t xml:space="preserve"> </w:t>
      </w:r>
      <w:r>
        <w:t>owner</w:t>
      </w:r>
      <w:r>
        <w:rPr>
          <w:spacing w:val="-4"/>
        </w:rPr>
        <w:t xml:space="preserve"> </w:t>
      </w:r>
      <w:r>
        <w:t>upon</w:t>
      </w:r>
      <w:r>
        <w:rPr>
          <w:spacing w:val="-4"/>
        </w:rPr>
        <w:t xml:space="preserve"> </w:t>
      </w:r>
      <w:r>
        <w:t xml:space="preserve">completion of </w:t>
      </w:r>
      <w:r w:rsidR="005F6917">
        <w:t>the start-up</w:t>
      </w:r>
      <w:r>
        <w:t>.</w:t>
      </w:r>
    </w:p>
    <w:sectPr w:rsidR="00C61063">
      <w:pgSz w:w="12240" w:h="15840"/>
      <w:pgMar w:top="1600" w:right="1340" w:bottom="280" w:left="17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B0E8F" w14:textId="77777777" w:rsidR="005F7887" w:rsidRDefault="005F7887">
      <w:r>
        <w:separator/>
      </w:r>
    </w:p>
  </w:endnote>
  <w:endnote w:type="continuationSeparator" w:id="0">
    <w:p w14:paraId="42BEA7F6" w14:textId="77777777" w:rsidR="005F7887" w:rsidRDefault="005F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6DC8" w14:textId="77777777" w:rsidR="005F7887" w:rsidRDefault="005F7887">
      <w:r>
        <w:separator/>
      </w:r>
    </w:p>
  </w:footnote>
  <w:footnote w:type="continuationSeparator" w:id="0">
    <w:p w14:paraId="12F60983" w14:textId="77777777" w:rsidR="005F7887" w:rsidRDefault="005F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F239" w14:textId="77777777" w:rsidR="00C61063" w:rsidRDefault="00000000">
    <w:pPr>
      <w:pStyle w:val="BodyText"/>
      <w:spacing w:line="14" w:lineRule="auto"/>
      <w:ind w:left="0"/>
      <w:rPr>
        <w:sz w:val="20"/>
      </w:rPr>
    </w:pPr>
    <w:r>
      <w:rPr>
        <w:noProof/>
      </w:rPr>
      <mc:AlternateContent>
        <mc:Choice Requires="wps">
          <w:drawing>
            <wp:anchor distT="0" distB="0" distL="0" distR="0" simplePos="0" relativeHeight="487555584" behindDoc="1" locked="0" layoutInCell="1" allowOverlap="1" wp14:anchorId="5ECF1BBD" wp14:editId="1D7DB117">
              <wp:simplePos x="0" y="0"/>
              <wp:positionH relativeFrom="page">
                <wp:posOffset>3007360</wp:posOffset>
              </wp:positionH>
              <wp:positionV relativeFrom="page">
                <wp:posOffset>441960</wp:posOffset>
              </wp:positionV>
              <wp:extent cx="3949700" cy="5448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0" cy="544830"/>
                      </a:xfrm>
                      <a:prstGeom prst="rect">
                        <a:avLst/>
                      </a:prstGeom>
                    </wps:spPr>
                    <wps:txbx>
                      <w:txbxContent>
                        <w:p w14:paraId="136D0090" w14:textId="0596C83D" w:rsidR="00C61063" w:rsidRDefault="00000000">
                          <w:pPr>
                            <w:pStyle w:val="BodyText"/>
                            <w:spacing w:before="10"/>
                            <w:ind w:left="572" w:right="18" w:hanging="553"/>
                            <w:jc w:val="right"/>
                          </w:pPr>
                          <w:r>
                            <w:t>Written</w:t>
                          </w:r>
                          <w:r>
                            <w:rPr>
                              <w:spacing w:val="-10"/>
                            </w:rPr>
                            <w:t xml:space="preserve"> </w:t>
                          </w:r>
                          <w:r>
                            <w:t>Specification</w:t>
                          </w:r>
                          <w:r>
                            <w:rPr>
                              <w:spacing w:val="-10"/>
                            </w:rPr>
                            <w:t xml:space="preserve"> </w:t>
                          </w:r>
                          <w:r>
                            <w:t>-</w:t>
                          </w:r>
                          <w:r>
                            <w:rPr>
                              <w:spacing w:val="-10"/>
                            </w:rPr>
                            <w:t xml:space="preserve"> </w:t>
                          </w:r>
                          <w:r w:rsidR="009A36EB" w:rsidRPr="009A36EB">
                            <w:t>LM8408TM</w:t>
                          </w:r>
                          <w:r w:rsidR="009A36EB">
                            <w:t>-</w:t>
                          </w:r>
                          <w:r w:rsidR="009A36EB" w:rsidRPr="009A36EB">
                            <w:t>COM</w:t>
                          </w:r>
                          <w:r>
                            <w:t>,</w:t>
                          </w:r>
                          <w:r>
                            <w:rPr>
                              <w:spacing w:val="-10"/>
                            </w:rPr>
                            <w:t xml:space="preserve"> </w:t>
                          </w:r>
                          <w:r w:rsidR="009A36EB" w:rsidRPr="009A36EB">
                            <w:t>LM84</w:t>
                          </w:r>
                          <w:r w:rsidR="009A36EB">
                            <w:t>10</w:t>
                          </w:r>
                          <w:r w:rsidR="009A36EB" w:rsidRPr="009A36EB">
                            <w:t>TM</w:t>
                          </w:r>
                          <w:r w:rsidR="009A36EB">
                            <w:t>-</w:t>
                          </w:r>
                          <w:r w:rsidR="009A36EB" w:rsidRPr="009A36EB">
                            <w:t>COM</w:t>
                          </w:r>
                          <w:r>
                            <w:t xml:space="preserve">, </w:t>
                          </w:r>
                          <w:r w:rsidR="009A36EB" w:rsidRPr="009A36EB">
                            <w:t>LM84</w:t>
                          </w:r>
                          <w:r w:rsidR="009A36EB">
                            <w:t>14</w:t>
                          </w:r>
                          <w:r w:rsidR="009A36EB" w:rsidRPr="009A36EB">
                            <w:t>TM</w:t>
                          </w:r>
                          <w:r w:rsidR="009A36EB">
                            <w:t>-</w:t>
                          </w:r>
                          <w:r w:rsidR="009A36EB" w:rsidRPr="009A36EB">
                            <w:t>COM</w:t>
                          </w:r>
                          <w:r>
                            <w:t>,</w:t>
                          </w:r>
                          <w:r>
                            <w:rPr>
                              <w:spacing w:val="-7"/>
                            </w:rPr>
                            <w:t xml:space="preserve"> </w:t>
                          </w:r>
                          <w:r w:rsidR="009A36EB" w:rsidRPr="009A36EB">
                            <w:t>LM84</w:t>
                          </w:r>
                          <w:r w:rsidR="009A36EB">
                            <w:t>16</w:t>
                          </w:r>
                          <w:r w:rsidR="009A36EB" w:rsidRPr="009A36EB">
                            <w:t>TM</w:t>
                          </w:r>
                          <w:r w:rsidR="009A36EB">
                            <w:t>-</w:t>
                          </w:r>
                          <w:r w:rsidR="009A36EB" w:rsidRPr="009A36EB">
                            <w:t>COM</w:t>
                          </w:r>
                        </w:p>
                      </w:txbxContent>
                    </wps:txbx>
                    <wps:bodyPr wrap="square" lIns="0" tIns="0" rIns="0" bIns="0" rtlCol="0">
                      <a:noAutofit/>
                    </wps:bodyPr>
                  </wps:wsp>
                </a:graphicData>
              </a:graphic>
              <wp14:sizeRelH relativeFrom="margin">
                <wp14:pctWidth>0</wp14:pctWidth>
              </wp14:sizeRelH>
            </wp:anchor>
          </w:drawing>
        </mc:Choice>
        <mc:Fallback>
          <w:pict>
            <v:shapetype w14:anchorId="5ECF1BBD" id="_x0000_t202" coordsize="21600,21600" o:spt="202" path="m,l,21600r21600,l21600,xe">
              <v:stroke joinstyle="miter"/>
              <v:path gradientshapeok="t" o:connecttype="rect"/>
            </v:shapetype>
            <v:shape id="Textbox 1" o:spid="_x0000_s1026" type="#_x0000_t202" style="position:absolute;margin-left:236.8pt;margin-top:34.8pt;width:311pt;height:42.9pt;z-index:-157608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" filled="f" stroked="f">
              <v:textbox inset="0,0,0,0">
                <w:txbxContent>
                  <w:p w14:paraId="136D0090" w14:textId="0596C83D" w:rsidR="00C61063" w:rsidRDefault="00000000">
                    <w:pPr>
                      <w:pStyle w:val="BodyText"/>
                      <w:spacing w:before="10"/>
                      <w:ind w:left="572" w:right="18" w:hanging="553"/>
                      <w:jc w:val="right"/>
                    </w:pPr>
                    <w:r>
                      <w:t>Written</w:t>
                    </w:r>
                    <w:r>
                      <w:rPr>
                        <w:spacing w:val="-10"/>
                      </w:rPr>
                      <w:t xml:space="preserve"> </w:t>
                    </w:r>
                    <w:r>
                      <w:t>Specification</w:t>
                    </w:r>
                    <w:r>
                      <w:rPr>
                        <w:spacing w:val="-10"/>
                      </w:rPr>
                      <w:t xml:space="preserve"> </w:t>
                    </w:r>
                    <w:r>
                      <w:t>-</w:t>
                    </w:r>
                    <w:r>
                      <w:rPr>
                        <w:spacing w:val="-10"/>
                      </w:rPr>
                      <w:t xml:space="preserve"> </w:t>
                    </w:r>
                    <w:r w:rsidR="009A36EB" w:rsidRPr="009A36EB">
                      <w:t>LM8408TM</w:t>
                    </w:r>
                    <w:r w:rsidR="009A36EB">
                      <w:t>-</w:t>
                    </w:r>
                    <w:r w:rsidR="009A36EB" w:rsidRPr="009A36EB">
                      <w:t>COM</w:t>
                    </w:r>
                    <w:r>
                      <w:t>,</w:t>
                    </w:r>
                    <w:r>
                      <w:rPr>
                        <w:spacing w:val="-10"/>
                      </w:rPr>
                      <w:t xml:space="preserve"> </w:t>
                    </w:r>
                    <w:r w:rsidR="009A36EB" w:rsidRPr="009A36EB">
                      <w:t>LM84</w:t>
                    </w:r>
                    <w:r w:rsidR="009A36EB">
                      <w:t>10</w:t>
                    </w:r>
                    <w:r w:rsidR="009A36EB" w:rsidRPr="009A36EB">
                      <w:t>TM</w:t>
                    </w:r>
                    <w:r w:rsidR="009A36EB">
                      <w:t>-</w:t>
                    </w:r>
                    <w:r w:rsidR="009A36EB" w:rsidRPr="009A36EB">
                      <w:t>COM</w:t>
                    </w:r>
                    <w:r>
                      <w:t xml:space="preserve">, </w:t>
                    </w:r>
                    <w:r w:rsidR="009A36EB" w:rsidRPr="009A36EB">
                      <w:t>LM84</w:t>
                    </w:r>
                    <w:r w:rsidR="009A36EB">
                      <w:t>14</w:t>
                    </w:r>
                    <w:r w:rsidR="009A36EB" w:rsidRPr="009A36EB">
                      <w:t>TM</w:t>
                    </w:r>
                    <w:r w:rsidR="009A36EB">
                      <w:t>-</w:t>
                    </w:r>
                    <w:r w:rsidR="009A36EB" w:rsidRPr="009A36EB">
                      <w:t>COM</w:t>
                    </w:r>
                    <w:r>
                      <w:t>,</w:t>
                    </w:r>
                    <w:r>
                      <w:rPr>
                        <w:spacing w:val="-7"/>
                      </w:rPr>
                      <w:t xml:space="preserve"> </w:t>
                    </w:r>
                    <w:r w:rsidR="009A36EB" w:rsidRPr="009A36EB">
                      <w:t>LM84</w:t>
                    </w:r>
                    <w:r w:rsidR="009A36EB">
                      <w:t>16</w:t>
                    </w:r>
                    <w:r w:rsidR="009A36EB" w:rsidRPr="009A36EB">
                      <w:t>TM</w:t>
                    </w:r>
                    <w:r w:rsidR="009A36EB">
                      <w:t>-</w:t>
                    </w:r>
                    <w:r w:rsidR="009A36EB" w:rsidRPr="009A36EB">
                      <w:t>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D35"/>
    <w:multiLevelType w:val="multilevel"/>
    <w:tmpl w:val="78BAF426"/>
    <w:lvl w:ilvl="0">
      <w:start w:val="1"/>
      <w:numFmt w:val="decimal"/>
      <w:lvlText w:val="%1.0"/>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82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820" w:hanging="360"/>
      </w:pPr>
      <w:rPr>
        <w:rFonts w:hint="default"/>
        <w:lang w:val="en-US" w:eastAsia="en-US" w:bidi="ar-SA"/>
      </w:rPr>
    </w:lvl>
    <w:lvl w:ilvl="3">
      <w:numFmt w:val="bullet"/>
      <w:lvlText w:val="•"/>
      <w:lvlJc w:val="left"/>
      <w:pPr>
        <w:ind w:left="1867" w:hanging="360"/>
      </w:pPr>
      <w:rPr>
        <w:rFonts w:hint="default"/>
        <w:lang w:val="en-US" w:eastAsia="en-US" w:bidi="ar-SA"/>
      </w:rPr>
    </w:lvl>
    <w:lvl w:ilvl="4">
      <w:numFmt w:val="bullet"/>
      <w:lvlText w:val="•"/>
      <w:lvlJc w:val="left"/>
      <w:pPr>
        <w:ind w:left="2915" w:hanging="360"/>
      </w:pPr>
      <w:rPr>
        <w:rFonts w:hint="default"/>
        <w:lang w:val="en-US" w:eastAsia="en-US" w:bidi="ar-SA"/>
      </w:rPr>
    </w:lvl>
    <w:lvl w:ilvl="5">
      <w:numFmt w:val="bullet"/>
      <w:lvlText w:val="•"/>
      <w:lvlJc w:val="left"/>
      <w:pPr>
        <w:ind w:left="3962" w:hanging="360"/>
      </w:pPr>
      <w:rPr>
        <w:rFonts w:hint="default"/>
        <w:lang w:val="en-US" w:eastAsia="en-US" w:bidi="ar-SA"/>
      </w:rPr>
    </w:lvl>
    <w:lvl w:ilvl="6">
      <w:numFmt w:val="bullet"/>
      <w:lvlText w:val="•"/>
      <w:lvlJc w:val="left"/>
      <w:pPr>
        <w:ind w:left="5010" w:hanging="360"/>
      </w:pPr>
      <w:rPr>
        <w:rFonts w:hint="default"/>
        <w:lang w:val="en-US" w:eastAsia="en-US" w:bidi="ar-SA"/>
      </w:rPr>
    </w:lvl>
    <w:lvl w:ilvl="7">
      <w:numFmt w:val="bullet"/>
      <w:lvlText w:val="•"/>
      <w:lvlJc w:val="left"/>
      <w:pPr>
        <w:ind w:left="6057" w:hanging="360"/>
      </w:pPr>
      <w:rPr>
        <w:rFonts w:hint="default"/>
        <w:lang w:val="en-US" w:eastAsia="en-US" w:bidi="ar-SA"/>
      </w:rPr>
    </w:lvl>
    <w:lvl w:ilvl="8">
      <w:numFmt w:val="bullet"/>
      <w:lvlText w:val="•"/>
      <w:lvlJc w:val="left"/>
      <w:pPr>
        <w:ind w:left="7105" w:hanging="360"/>
      </w:pPr>
      <w:rPr>
        <w:rFonts w:hint="default"/>
        <w:lang w:val="en-US" w:eastAsia="en-US" w:bidi="ar-SA"/>
      </w:rPr>
    </w:lvl>
  </w:abstractNum>
  <w:abstractNum w:abstractNumId="1" w15:restartNumberingAfterBreak="0">
    <w:nsid w:val="36535F0F"/>
    <w:multiLevelType w:val="multilevel"/>
    <w:tmpl w:val="12AA6A02"/>
    <w:lvl w:ilvl="0">
      <w:start w:val="3"/>
      <w:numFmt w:val="decimal"/>
      <w:lvlText w:val="%1"/>
      <w:lvlJc w:val="left"/>
      <w:pPr>
        <w:ind w:left="760" w:hanging="363"/>
        <w:jc w:val="left"/>
      </w:pPr>
      <w:rPr>
        <w:rFonts w:hint="default"/>
        <w:lang w:val="en-US" w:eastAsia="en-US" w:bidi="ar-SA"/>
      </w:rPr>
    </w:lvl>
    <w:lvl w:ilvl="1">
      <w:start w:val="3"/>
      <w:numFmt w:val="decimal"/>
      <w:lvlText w:val="%1.%2"/>
      <w:lvlJc w:val="left"/>
      <w:pPr>
        <w:ind w:left="760" w:hanging="36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48" w:hanging="363"/>
      </w:pPr>
      <w:rPr>
        <w:rFonts w:hint="default"/>
        <w:lang w:val="en-US" w:eastAsia="en-US" w:bidi="ar-SA"/>
      </w:rPr>
    </w:lvl>
    <w:lvl w:ilvl="3">
      <w:numFmt w:val="bullet"/>
      <w:lvlText w:val="•"/>
      <w:lvlJc w:val="left"/>
      <w:pPr>
        <w:ind w:left="3292" w:hanging="363"/>
      </w:pPr>
      <w:rPr>
        <w:rFonts w:hint="default"/>
        <w:lang w:val="en-US" w:eastAsia="en-US" w:bidi="ar-SA"/>
      </w:rPr>
    </w:lvl>
    <w:lvl w:ilvl="4">
      <w:numFmt w:val="bullet"/>
      <w:lvlText w:val="•"/>
      <w:lvlJc w:val="left"/>
      <w:pPr>
        <w:ind w:left="4136" w:hanging="363"/>
      </w:pPr>
      <w:rPr>
        <w:rFonts w:hint="default"/>
        <w:lang w:val="en-US" w:eastAsia="en-US" w:bidi="ar-SA"/>
      </w:rPr>
    </w:lvl>
    <w:lvl w:ilvl="5">
      <w:numFmt w:val="bullet"/>
      <w:lvlText w:val="•"/>
      <w:lvlJc w:val="left"/>
      <w:pPr>
        <w:ind w:left="4980" w:hanging="363"/>
      </w:pPr>
      <w:rPr>
        <w:rFonts w:hint="default"/>
        <w:lang w:val="en-US" w:eastAsia="en-US" w:bidi="ar-SA"/>
      </w:rPr>
    </w:lvl>
    <w:lvl w:ilvl="6">
      <w:numFmt w:val="bullet"/>
      <w:lvlText w:val="•"/>
      <w:lvlJc w:val="left"/>
      <w:pPr>
        <w:ind w:left="5824" w:hanging="363"/>
      </w:pPr>
      <w:rPr>
        <w:rFonts w:hint="default"/>
        <w:lang w:val="en-US" w:eastAsia="en-US" w:bidi="ar-SA"/>
      </w:rPr>
    </w:lvl>
    <w:lvl w:ilvl="7">
      <w:numFmt w:val="bullet"/>
      <w:lvlText w:val="•"/>
      <w:lvlJc w:val="left"/>
      <w:pPr>
        <w:ind w:left="6668" w:hanging="363"/>
      </w:pPr>
      <w:rPr>
        <w:rFonts w:hint="default"/>
        <w:lang w:val="en-US" w:eastAsia="en-US" w:bidi="ar-SA"/>
      </w:rPr>
    </w:lvl>
    <w:lvl w:ilvl="8">
      <w:numFmt w:val="bullet"/>
      <w:lvlText w:val="•"/>
      <w:lvlJc w:val="left"/>
      <w:pPr>
        <w:ind w:left="7512" w:hanging="363"/>
      </w:pPr>
      <w:rPr>
        <w:rFonts w:hint="default"/>
        <w:lang w:val="en-US" w:eastAsia="en-US" w:bidi="ar-SA"/>
      </w:rPr>
    </w:lvl>
  </w:abstractNum>
  <w:num w:numId="1" w16cid:durableId="1114061844">
    <w:abstractNumId w:val="1"/>
  </w:num>
  <w:num w:numId="2" w16cid:durableId="38772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61063"/>
    <w:rsid w:val="005F6917"/>
    <w:rsid w:val="005F7887"/>
    <w:rsid w:val="009A36EB"/>
    <w:rsid w:val="00B85985"/>
    <w:rsid w:val="00BC6447"/>
    <w:rsid w:val="00C61063"/>
    <w:rsid w:val="00DF4E87"/>
    <w:rsid w:val="00F8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6932"/>
  <w15:docId w15:val="{BBD6B256-8AB3-42ED-AE5F-01C90871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3"/>
    </w:pPr>
    <w:rPr>
      <w:sz w:val="24"/>
      <w:szCs w:val="24"/>
    </w:rPr>
  </w:style>
  <w:style w:type="paragraph" w:styleId="ListParagraph">
    <w:name w:val="List Paragraph"/>
    <w:basedOn w:val="Normal"/>
    <w:uiPriority w:val="1"/>
    <w:qFormat/>
    <w:pPr>
      <w:spacing w:before="156"/>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36EB"/>
    <w:pPr>
      <w:tabs>
        <w:tab w:val="center" w:pos="4680"/>
        <w:tab w:val="right" w:pos="9360"/>
      </w:tabs>
    </w:pPr>
  </w:style>
  <w:style w:type="character" w:customStyle="1" w:styleId="HeaderChar">
    <w:name w:val="Header Char"/>
    <w:basedOn w:val="DefaultParagraphFont"/>
    <w:link w:val="Header"/>
    <w:uiPriority w:val="99"/>
    <w:rsid w:val="009A36EB"/>
    <w:rPr>
      <w:rFonts w:ascii="Times New Roman" w:eastAsia="Times New Roman" w:hAnsi="Times New Roman" w:cs="Times New Roman"/>
    </w:rPr>
  </w:style>
  <w:style w:type="paragraph" w:styleId="Footer">
    <w:name w:val="footer"/>
    <w:basedOn w:val="Normal"/>
    <w:link w:val="FooterChar"/>
    <w:uiPriority w:val="99"/>
    <w:unhideWhenUsed/>
    <w:rsid w:val="009A36EB"/>
    <w:pPr>
      <w:tabs>
        <w:tab w:val="center" w:pos="4680"/>
        <w:tab w:val="right" w:pos="9360"/>
      </w:tabs>
    </w:pPr>
  </w:style>
  <w:style w:type="character" w:customStyle="1" w:styleId="FooterChar">
    <w:name w:val="Footer Char"/>
    <w:basedOn w:val="DefaultParagraphFont"/>
    <w:link w:val="Footer"/>
    <w:uiPriority w:val="99"/>
    <w:rsid w:val="009A36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SPECIFICATION SECTION XXX</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Lync AquaSolve - Specifications</dc:title>
  <dc:creator>Ryan Lessing</dc:creator>
  <cp:lastModifiedBy>Mynster, Andreas Silvert</cp:lastModifiedBy>
  <cp:revision>3</cp:revision>
  <dcterms:created xsi:type="dcterms:W3CDTF">2024-09-06T17:16:00Z</dcterms:created>
  <dcterms:modified xsi:type="dcterms:W3CDTF">2024-09-06T18:46:00Z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2017-01-12T00:00:00Z</vt:filetime>
  </property>
  <property fmtid="{D5CDD505-2E9C-101B-9397-08002B2CF9AE}" pid="3" name="Creator">
    <vt:lpwstr>Microsoft® Word 2010</vt:lpwstr>
  </property>
  <property fmtid="{D5CDD505-2E9C-101B-9397-08002B2CF9AE}" pid="4" name="LastSaved">
    <vt:filetime>2024-09-06T00:00:00Z</vt:filetime>
  </property>
  <property fmtid="{D5CDD505-2E9C-101B-9397-08002B2CF9AE}" pid="5" name="Producer">
    <vt:lpwstr>Microsoft® Word 2010</vt:lpwstr>
  </property>
  <property fmtid="{D5CDD505-2E9C-101B-9397-08002B2CF9AE}" pid="6" name="GrammarlyDocumentId">
    <vt:lpwstr>0b0bd525e5b62d24761e0ccbe99285c3aa9e5eff4e8a741f00367371c89622ca</vt:lpwstr>
  </property>
</Properties>
</file>